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Pr="00A95A6B" w:rsidRDefault="00973113" w:rsidP="00973113">
      <w:pPr>
        <w:rPr>
          <w:rFonts w:ascii="Arial Narrow" w:hAnsi="Arial Narrow"/>
          <w:sz w:val="28"/>
          <w:szCs w:val="28"/>
        </w:rPr>
      </w:pPr>
      <w:r w:rsidRPr="00A95A6B">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noProof/>
          <w:sz w:val="28"/>
          <w:szCs w:val="28"/>
          <w:lang w:eastAsia="fr-FR"/>
        </w:rPr>
        <w:drawing>
          <wp:inline distT="0" distB="0" distL="0" distR="0">
            <wp:extent cx="1866194" cy="66992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ogostnazaire-q-r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328" cy="716641"/>
                    </a:xfrm>
                    <a:prstGeom prst="rect">
                      <a:avLst/>
                    </a:prstGeom>
                  </pic:spPr>
                </pic:pic>
              </a:graphicData>
            </a:graphic>
          </wp:inline>
        </w:drawing>
      </w:r>
    </w:p>
    <w:p w:rsidR="00973113" w:rsidRPr="00A95A6B" w:rsidRDefault="00973113" w:rsidP="00973113">
      <w:pPr>
        <w:jc w:val="center"/>
        <w:rPr>
          <w:rFonts w:ascii="Arial Narrow" w:hAnsi="Arial Narrow"/>
          <w:b/>
          <w:sz w:val="28"/>
          <w:szCs w:val="28"/>
        </w:rPr>
      </w:pPr>
      <w:r w:rsidRPr="00A95A6B">
        <w:rPr>
          <w:rFonts w:ascii="Arial Narrow" w:hAnsi="Arial Narrow"/>
          <w:b/>
          <w:sz w:val="28"/>
          <w:szCs w:val="28"/>
        </w:rPr>
        <w:t>La CARENE Saint-Nazaire Agglomération</w:t>
      </w:r>
    </w:p>
    <w:p w:rsidR="00973113" w:rsidRPr="00A95A6B" w:rsidRDefault="00E01B49" w:rsidP="00973113">
      <w:pPr>
        <w:jc w:val="center"/>
        <w:rPr>
          <w:rFonts w:ascii="Arial Narrow" w:hAnsi="Arial Narrow"/>
          <w:b/>
        </w:rPr>
      </w:pPr>
      <w:r w:rsidRPr="00A95A6B">
        <w:rPr>
          <w:rFonts w:ascii="Arial Narrow" w:hAnsi="Arial Narrow"/>
          <w:b/>
        </w:rPr>
        <w:t>(10 communes / 125</w:t>
      </w:r>
      <w:r w:rsidR="00973113" w:rsidRPr="00A95A6B">
        <w:rPr>
          <w:rFonts w:ascii="Arial Narrow" w:hAnsi="Arial Narrow"/>
          <w:b/>
        </w:rPr>
        <w:t xml:space="preserve"> 000 hab</w:t>
      </w:r>
      <w:r w:rsidR="006954AD" w:rsidRPr="00A95A6B">
        <w:rPr>
          <w:rFonts w:ascii="Arial Narrow" w:hAnsi="Arial Narrow"/>
          <w:b/>
        </w:rPr>
        <w:t>itants</w:t>
      </w:r>
      <w:r w:rsidR="00973113" w:rsidRPr="00A95A6B">
        <w:rPr>
          <w:rFonts w:ascii="Arial Narrow" w:hAnsi="Arial Narrow"/>
          <w:b/>
        </w:rPr>
        <w:t>)</w:t>
      </w:r>
    </w:p>
    <w:p w:rsidR="00973113" w:rsidRPr="00A95A6B" w:rsidRDefault="00973113" w:rsidP="00973113">
      <w:pPr>
        <w:jc w:val="center"/>
        <w:rPr>
          <w:rFonts w:ascii="Arial Narrow" w:hAnsi="Arial Narrow"/>
          <w:b/>
        </w:rPr>
      </w:pPr>
      <w:r w:rsidRPr="00A95A6B">
        <w:rPr>
          <w:rFonts w:ascii="Arial Narrow" w:hAnsi="Arial Narrow"/>
          <w:b/>
        </w:rPr>
        <w:t>Communauté d’Agglomération de la REgion Nazairienne et de l’Estuaire</w:t>
      </w:r>
    </w:p>
    <w:p w:rsidR="00E01B49" w:rsidRPr="00A756E7" w:rsidRDefault="006B2D99" w:rsidP="00973113">
      <w:pPr>
        <w:jc w:val="center"/>
        <w:rPr>
          <w:rFonts w:ascii="Arial Narrow" w:hAnsi="Arial Narrow"/>
          <w:b/>
        </w:rPr>
      </w:pPr>
      <w:r w:rsidRPr="00A756E7">
        <w:rPr>
          <w:rFonts w:ascii="Arial Narrow" w:hAnsi="Arial Narrow"/>
          <w:b/>
        </w:rPr>
        <w:t xml:space="preserve">Direction </w:t>
      </w:r>
      <w:r w:rsidR="00E913E0">
        <w:rPr>
          <w:rFonts w:ascii="Arial Narrow" w:hAnsi="Arial Narrow"/>
          <w:b/>
        </w:rPr>
        <w:t>de l’Urbanisme et de l’Aménagement Durable</w:t>
      </w:r>
    </w:p>
    <w:p w:rsidR="00973113" w:rsidRPr="00A95A6B" w:rsidRDefault="00CB58F6" w:rsidP="00973113">
      <w:pPr>
        <w:jc w:val="center"/>
        <w:rPr>
          <w:rFonts w:ascii="Arial Narrow" w:hAnsi="Arial Narrow"/>
          <w:b/>
        </w:rPr>
      </w:pPr>
      <w:r w:rsidRPr="00A95A6B">
        <w:rPr>
          <w:rFonts w:ascii="Arial Narrow" w:hAnsi="Arial Narrow"/>
          <w:b/>
        </w:rPr>
        <w:t>R</w:t>
      </w:r>
      <w:r w:rsidR="00973113" w:rsidRPr="00A95A6B">
        <w:rPr>
          <w:rFonts w:ascii="Arial Narrow" w:hAnsi="Arial Narrow"/>
          <w:b/>
        </w:rPr>
        <w:t>ecrute</w:t>
      </w:r>
      <w:r w:rsidRPr="00A95A6B">
        <w:rPr>
          <w:rFonts w:ascii="Arial Narrow" w:hAnsi="Arial Narrow"/>
          <w:b/>
        </w:rPr>
        <w:t xml:space="preserve"> </w:t>
      </w:r>
    </w:p>
    <w:p w:rsidR="00973113" w:rsidRPr="00A95A6B" w:rsidRDefault="009B38F4" w:rsidP="00ED2137">
      <w:pPr>
        <w:spacing w:after="0" w:line="240" w:lineRule="auto"/>
        <w:jc w:val="center"/>
        <w:rPr>
          <w:rFonts w:ascii="Arial Narrow" w:hAnsi="Arial Narrow"/>
          <w:b/>
          <w:sz w:val="32"/>
          <w:szCs w:val="32"/>
          <w:u w:val="single"/>
        </w:rPr>
      </w:pPr>
      <w:r>
        <w:rPr>
          <w:rFonts w:ascii="Arial Narrow" w:hAnsi="Arial Narrow"/>
          <w:b/>
          <w:sz w:val="32"/>
          <w:szCs w:val="32"/>
          <w:u w:val="single"/>
        </w:rPr>
        <w:t xml:space="preserve"> Un·e chargé·e d’opération et stratégie foncière </w:t>
      </w:r>
      <w:r w:rsidR="006B2D99" w:rsidRPr="00A95A6B">
        <w:rPr>
          <w:rFonts w:ascii="Arial Narrow" w:hAnsi="Arial Narrow"/>
          <w:b/>
          <w:sz w:val="32"/>
          <w:szCs w:val="32"/>
          <w:u w:val="single"/>
        </w:rPr>
        <w:t xml:space="preserve">(H/F) </w:t>
      </w:r>
    </w:p>
    <w:p w:rsidR="006B2D99" w:rsidRPr="00A95A6B" w:rsidRDefault="006B2D99" w:rsidP="00ED2137">
      <w:pPr>
        <w:spacing w:after="0" w:line="240" w:lineRule="auto"/>
        <w:jc w:val="center"/>
        <w:rPr>
          <w:rFonts w:ascii="Arial Narrow" w:hAnsi="Arial Narrow"/>
          <w:b/>
          <w:sz w:val="32"/>
          <w:szCs w:val="32"/>
          <w:u w:val="single"/>
        </w:rPr>
      </w:pPr>
    </w:p>
    <w:p w:rsidR="006B2D99" w:rsidRPr="00A95A6B" w:rsidRDefault="006B2D99" w:rsidP="006B2D99">
      <w:pPr>
        <w:tabs>
          <w:tab w:val="left" w:pos="-284"/>
          <w:tab w:val="left" w:pos="14004"/>
        </w:tabs>
        <w:spacing w:after="0" w:line="240" w:lineRule="auto"/>
        <w:jc w:val="center"/>
        <w:rPr>
          <w:rFonts w:ascii="Arial Narrow" w:hAnsi="Arial Narrow"/>
          <w:i/>
        </w:rPr>
      </w:pPr>
      <w:r w:rsidRPr="00A95A6B">
        <w:rPr>
          <w:rFonts w:ascii="Arial Narrow" w:hAnsi="Arial Narrow"/>
          <w:i/>
        </w:rPr>
        <w:t xml:space="preserve">Cadre d’emploi des </w:t>
      </w:r>
      <w:r w:rsidR="00FA153A" w:rsidRPr="00A95A6B">
        <w:rPr>
          <w:rFonts w:ascii="Arial Narrow" w:hAnsi="Arial Narrow"/>
          <w:i/>
        </w:rPr>
        <w:t>attachés</w:t>
      </w:r>
      <w:r w:rsidR="000A54CC">
        <w:rPr>
          <w:rFonts w:ascii="Arial Narrow" w:hAnsi="Arial Narrow"/>
          <w:i/>
        </w:rPr>
        <w:t xml:space="preserve"> et ingénieurs</w:t>
      </w:r>
      <w:r w:rsidR="00FA153A" w:rsidRPr="00A95A6B">
        <w:rPr>
          <w:rFonts w:ascii="Arial Narrow" w:hAnsi="Arial Narrow"/>
          <w:i/>
        </w:rPr>
        <w:t xml:space="preserve"> territoriaux</w:t>
      </w:r>
      <w:r w:rsidRPr="00A95A6B">
        <w:rPr>
          <w:rFonts w:ascii="Arial Narrow" w:hAnsi="Arial Narrow"/>
          <w:i/>
        </w:rPr>
        <w:t xml:space="preserve"> </w:t>
      </w:r>
    </w:p>
    <w:p w:rsidR="006B2D99" w:rsidRPr="00A95A6B" w:rsidRDefault="006B2D99" w:rsidP="006B2D99">
      <w:pPr>
        <w:spacing w:after="120"/>
        <w:jc w:val="both"/>
        <w:rPr>
          <w:rFonts w:ascii="Arial Narrow" w:hAnsi="Arial Narrow"/>
          <w:b/>
          <w:u w:val="single"/>
        </w:rPr>
      </w:pPr>
    </w:p>
    <w:p w:rsidR="00BC5225" w:rsidRDefault="00BC5225" w:rsidP="00BC5225">
      <w:pPr>
        <w:jc w:val="both"/>
        <w:rPr>
          <w:rFonts w:ascii="Arial Narrow" w:hAnsi="Arial Narrow" w:cs="Arial"/>
        </w:rPr>
      </w:pPr>
      <w:r w:rsidRPr="00C47B92">
        <w:rPr>
          <w:rFonts w:ascii="Arial Narrow" w:hAnsi="Arial Narrow" w:cs="Arial"/>
        </w:rPr>
        <w:t xml:space="preserve">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w:t>
      </w:r>
      <w:r w:rsidR="00111C4C">
        <w:rPr>
          <w:rFonts w:ascii="Arial Narrow" w:hAnsi="Arial Narrow" w:cs="Arial"/>
        </w:rPr>
        <w:t>urbains</w:t>
      </w:r>
      <w:r w:rsidRPr="00C47B92">
        <w:rPr>
          <w:rFonts w:ascii="Arial Narrow" w:hAnsi="Arial Narrow" w:cs="Arial"/>
        </w:rPr>
        <w:t xml:space="preserve"> sont majeurs. Le territoire revendique aujourd’hui sa personnalité autour d’une dynamique touristique, Saint-Nazaire renversante, et s’appuie sur son positionnement de vie urbaine et originale au bord de l’océan.</w:t>
      </w:r>
    </w:p>
    <w:p w:rsidR="00111C4C" w:rsidRPr="00C47B92" w:rsidRDefault="009B38F4" w:rsidP="00BC5225">
      <w:pPr>
        <w:jc w:val="both"/>
        <w:rPr>
          <w:rFonts w:ascii="Arial Narrow" w:hAnsi="Arial Narrow" w:cs="Arial"/>
        </w:rPr>
      </w:pPr>
      <w:r w:rsidRPr="00760227">
        <w:rPr>
          <w:rFonts w:ascii="Arial Narrow" w:hAnsi="Arial Narrow"/>
        </w:rPr>
        <w:t>La stratégie et l’action foncière constituent un des piliers au service des politiques publiques de la CARENE</w:t>
      </w:r>
      <w:r>
        <w:rPr>
          <w:rFonts w:ascii="Arial Narrow" w:hAnsi="Arial Narrow" w:cs="Arial"/>
        </w:rPr>
        <w:t xml:space="preserve"> et de la Ville de Saint-Nazaire</w:t>
      </w:r>
      <w:r>
        <w:rPr>
          <w:rFonts w:ascii="Arial Narrow" w:hAnsi="Arial Narrow"/>
        </w:rPr>
        <w:t>.</w:t>
      </w:r>
      <w:r>
        <w:rPr>
          <w:rFonts w:ascii="Arial Narrow" w:hAnsi="Arial Narrow"/>
        </w:rPr>
        <w:t xml:space="preserve"> </w:t>
      </w:r>
      <w:r w:rsidR="00111C4C">
        <w:rPr>
          <w:rFonts w:ascii="Arial Narrow" w:hAnsi="Arial Narrow" w:cs="Arial"/>
        </w:rPr>
        <w:t>Dans le cadre de la mutualisation des services de l’Agglomération et de la Ville-centre, un</w:t>
      </w:r>
      <w:r w:rsidR="00A34D4C">
        <w:rPr>
          <w:rFonts w:ascii="Arial Narrow" w:hAnsi="Arial Narrow" w:cs="Arial"/>
        </w:rPr>
        <w:t>e direction générale adjointe « Fabrique du territoire écologique » a été créée</w:t>
      </w:r>
      <w:r>
        <w:rPr>
          <w:rFonts w:ascii="Arial Narrow" w:hAnsi="Arial Narrow" w:cs="Arial"/>
        </w:rPr>
        <w:t xml:space="preserve">, </w:t>
      </w:r>
      <w:r w:rsidR="00D6466D">
        <w:rPr>
          <w:rFonts w:ascii="Arial Narrow" w:hAnsi="Arial Narrow" w:cs="Arial"/>
        </w:rPr>
        <w:t xml:space="preserve">comprenant une Direction de l’Urbanisme et de l’Aménagement Durable </w:t>
      </w:r>
      <w:r>
        <w:rPr>
          <w:rFonts w:ascii="Arial Narrow" w:hAnsi="Arial Narrow" w:cs="Arial"/>
        </w:rPr>
        <w:t>à laquelle est rattachée l’Unité Foncier</w:t>
      </w:r>
      <w:r w:rsidR="00A34D4C">
        <w:rPr>
          <w:rFonts w:ascii="Arial Narrow" w:hAnsi="Arial Narrow" w:cs="Arial"/>
        </w:rPr>
        <w:t xml:space="preserve">. </w:t>
      </w:r>
      <w:bookmarkStart w:id="0" w:name="_GoBack"/>
      <w:bookmarkEnd w:id="0"/>
    </w:p>
    <w:p w:rsidR="006B2D99" w:rsidRDefault="00A756E7" w:rsidP="00A756E7">
      <w:pPr>
        <w:spacing w:after="120"/>
        <w:jc w:val="both"/>
        <w:rPr>
          <w:rFonts w:ascii="Arial Narrow" w:eastAsia="Times New Roman" w:hAnsi="Arial Narrow" w:cs="Times New Roman"/>
          <w:color w:val="000000" w:themeColor="text1"/>
          <w:lang w:eastAsia="fr-FR"/>
        </w:rPr>
      </w:pPr>
      <w:r w:rsidRPr="00C47B92">
        <w:rPr>
          <w:rFonts w:ascii="Arial Narrow" w:eastAsia="Times New Roman" w:hAnsi="Arial Narrow" w:cs="Times New Roman"/>
          <w:color w:val="000000" w:themeColor="text1"/>
          <w:lang w:eastAsia="fr-FR"/>
        </w:rPr>
        <w:t>S</w:t>
      </w:r>
      <w:r w:rsidR="009B38F4">
        <w:rPr>
          <w:rFonts w:ascii="Arial Narrow" w:eastAsia="Times New Roman" w:hAnsi="Arial Narrow" w:cs="Times New Roman"/>
          <w:color w:val="000000" w:themeColor="text1"/>
          <w:lang w:eastAsia="fr-FR"/>
        </w:rPr>
        <w:t>ous l’autorité du responsable de l’Unité Foncier</w:t>
      </w:r>
      <w:r w:rsidR="00FA153A" w:rsidRPr="00C47B92">
        <w:rPr>
          <w:rFonts w:ascii="Arial Narrow" w:eastAsia="Times New Roman" w:hAnsi="Arial Narrow" w:cs="Times New Roman"/>
          <w:color w:val="000000" w:themeColor="text1"/>
          <w:lang w:eastAsia="fr-FR"/>
        </w:rPr>
        <w:t>, le</w:t>
      </w:r>
      <w:r w:rsidR="00B91ED8" w:rsidRPr="00C47B92">
        <w:rPr>
          <w:rFonts w:ascii="Arial Narrow" w:eastAsia="Times New Roman" w:hAnsi="Arial Narrow" w:cs="Times New Roman"/>
          <w:color w:val="000000" w:themeColor="text1"/>
          <w:lang w:eastAsia="fr-FR"/>
        </w:rPr>
        <w:t>·la</w:t>
      </w:r>
      <w:r w:rsidR="00FA153A" w:rsidRPr="00C47B92">
        <w:rPr>
          <w:rFonts w:ascii="Arial Narrow" w:eastAsia="Times New Roman" w:hAnsi="Arial Narrow" w:cs="Times New Roman"/>
          <w:color w:val="000000" w:themeColor="text1"/>
          <w:lang w:eastAsia="fr-FR"/>
        </w:rPr>
        <w:t xml:space="preserve"> </w:t>
      </w:r>
      <w:r w:rsidR="009B38F4" w:rsidRPr="009B38F4">
        <w:rPr>
          <w:rFonts w:ascii="Arial Narrow" w:hAnsi="Arial Narrow"/>
        </w:rPr>
        <w:t>chargé·e d’opération et stratégie foncière</w:t>
      </w:r>
      <w:r w:rsidR="009B38F4" w:rsidRPr="009B38F4">
        <w:rPr>
          <w:rFonts w:ascii="Arial Narrow" w:eastAsia="Times New Roman" w:hAnsi="Arial Narrow" w:cs="Times New Roman"/>
          <w:color w:val="000000" w:themeColor="text1"/>
          <w:lang w:eastAsia="fr-FR"/>
        </w:rPr>
        <w:t xml:space="preserve"> </w:t>
      </w:r>
      <w:r w:rsidR="00FA153A" w:rsidRPr="00C47B92">
        <w:rPr>
          <w:rFonts w:ascii="Arial Narrow" w:eastAsia="Times New Roman" w:hAnsi="Arial Narrow" w:cs="Times New Roman"/>
          <w:color w:val="000000" w:themeColor="text1"/>
          <w:lang w:eastAsia="fr-FR"/>
        </w:rPr>
        <w:t>assure les missions suivantes</w:t>
      </w:r>
      <w:r w:rsidR="00A542D6" w:rsidRPr="00C47B92">
        <w:rPr>
          <w:rFonts w:ascii="Arial Narrow" w:eastAsia="Times New Roman" w:hAnsi="Arial Narrow" w:cs="Times New Roman"/>
          <w:color w:val="000000" w:themeColor="text1"/>
          <w:lang w:eastAsia="fr-FR"/>
        </w:rPr>
        <w:t xml:space="preserve"> : </w:t>
      </w:r>
    </w:p>
    <w:p w:rsidR="00D6466D" w:rsidRPr="00D6466D" w:rsidRDefault="00D6466D" w:rsidP="00D6466D">
      <w:pPr>
        <w:pStyle w:val="Paragraphedeliste"/>
        <w:numPr>
          <w:ilvl w:val="0"/>
          <w:numId w:val="22"/>
        </w:numPr>
        <w:spacing w:after="120"/>
        <w:jc w:val="both"/>
        <w:rPr>
          <w:rFonts w:ascii="Arial Narrow" w:hAnsi="Arial Narrow"/>
          <w:b/>
          <w:u w:val="single"/>
        </w:rPr>
      </w:pPr>
      <w:r w:rsidRPr="00D6466D">
        <w:rPr>
          <w:rFonts w:ascii="Arial Narrow" w:hAnsi="Arial Narrow"/>
          <w:b/>
          <w:u w:val="single"/>
        </w:rPr>
        <w:t>Activités principales :</w:t>
      </w:r>
    </w:p>
    <w:p w:rsidR="009B38F4" w:rsidRPr="00622F28" w:rsidRDefault="009B38F4" w:rsidP="006F7DE1">
      <w:pPr>
        <w:pStyle w:val="Paragraphedeliste"/>
        <w:numPr>
          <w:ilvl w:val="0"/>
          <w:numId w:val="20"/>
        </w:numPr>
        <w:spacing w:after="0" w:line="240" w:lineRule="auto"/>
        <w:ind w:left="993" w:hanging="426"/>
        <w:jc w:val="both"/>
        <w:rPr>
          <w:rFonts w:ascii="Arial Narrow" w:hAnsi="Arial Narrow" w:cstheme="minorHAnsi"/>
        </w:rPr>
      </w:pPr>
      <w:r w:rsidRPr="00622F28">
        <w:rPr>
          <w:rFonts w:ascii="Arial Narrow" w:hAnsi="Arial Narrow" w:cstheme="minorHAnsi"/>
        </w:rPr>
        <w:t>Participer à l’élaboration de la stratégie foncière à l’échelle du territoire de la CARENE au service des politiques publiques (Urbanisme, aménagement, habitat, économie, environnement, espaces publics, voirie …) en cohérence avec les documents de planification (PLH et PLUI, SAE, PDU …)</w:t>
      </w:r>
    </w:p>
    <w:p w:rsidR="009B38F4" w:rsidRPr="00622F28" w:rsidRDefault="009B38F4" w:rsidP="006F7DE1">
      <w:pPr>
        <w:pStyle w:val="Paragraphedeliste"/>
        <w:numPr>
          <w:ilvl w:val="0"/>
          <w:numId w:val="20"/>
        </w:numPr>
        <w:spacing w:line="240" w:lineRule="auto"/>
        <w:ind w:left="993" w:hanging="426"/>
        <w:jc w:val="both"/>
        <w:rPr>
          <w:rFonts w:ascii="Arial Narrow" w:hAnsi="Arial Narrow" w:cstheme="minorHAnsi"/>
        </w:rPr>
      </w:pPr>
      <w:r w:rsidRPr="00622F28">
        <w:rPr>
          <w:rFonts w:ascii="Arial Narrow" w:hAnsi="Arial Narrow" w:cstheme="minorHAnsi"/>
        </w:rPr>
        <w:t>Prospection, repérage des opportunités foncières à l’échelle du territoire – collecter des informations, repérer des constructions, des transactions immobilières, et repérer les déclarations d’intentions d’aliéner stratégiques ainsi que les déclarations de cession de fonds de commerce stratégiques.</w:t>
      </w:r>
    </w:p>
    <w:p w:rsidR="009B38F4" w:rsidRPr="00622F28" w:rsidRDefault="009B38F4" w:rsidP="006F7DE1">
      <w:pPr>
        <w:pStyle w:val="Paragraphedeliste"/>
        <w:numPr>
          <w:ilvl w:val="0"/>
          <w:numId w:val="20"/>
        </w:numPr>
        <w:spacing w:after="0" w:line="240" w:lineRule="auto"/>
        <w:ind w:left="993" w:hanging="426"/>
        <w:jc w:val="both"/>
        <w:rPr>
          <w:rFonts w:ascii="Arial Narrow" w:hAnsi="Arial Narrow" w:cstheme="minorHAnsi"/>
        </w:rPr>
      </w:pPr>
      <w:r w:rsidRPr="00622F28">
        <w:rPr>
          <w:rFonts w:ascii="Arial Narrow" w:hAnsi="Arial Narrow" w:cstheme="minorHAnsi"/>
        </w:rPr>
        <w:t xml:space="preserve">Analyse qualitative et prospectives des DIA – coordination entre l’agglomération et les communes. Expertise pour les arbitrages politiques en vue de l’exercice du droit de préemption </w:t>
      </w:r>
    </w:p>
    <w:p w:rsidR="009B38F4" w:rsidRPr="00622F28" w:rsidRDefault="009B38F4" w:rsidP="006F7DE1">
      <w:pPr>
        <w:pStyle w:val="Paragraphedeliste"/>
        <w:numPr>
          <w:ilvl w:val="0"/>
          <w:numId w:val="20"/>
        </w:numPr>
        <w:spacing w:after="0" w:line="240" w:lineRule="auto"/>
        <w:ind w:left="993" w:hanging="426"/>
        <w:jc w:val="both"/>
        <w:rPr>
          <w:rFonts w:ascii="Arial Narrow" w:hAnsi="Arial Narrow" w:cstheme="minorHAnsi"/>
        </w:rPr>
      </w:pPr>
      <w:r w:rsidRPr="00622F28">
        <w:rPr>
          <w:rFonts w:ascii="Arial Narrow" w:hAnsi="Arial Narrow" w:cstheme="minorHAnsi"/>
        </w:rPr>
        <w:t xml:space="preserve">Organisation avec les communes de l’exercice délégué du DPU « au cas par cas ». </w:t>
      </w:r>
    </w:p>
    <w:p w:rsidR="009B38F4" w:rsidRPr="00622F28" w:rsidRDefault="009B38F4" w:rsidP="006F7DE1">
      <w:pPr>
        <w:pStyle w:val="Paragraphedeliste"/>
        <w:numPr>
          <w:ilvl w:val="0"/>
          <w:numId w:val="20"/>
        </w:numPr>
        <w:spacing w:line="240" w:lineRule="auto"/>
        <w:ind w:left="993" w:hanging="426"/>
        <w:jc w:val="both"/>
        <w:rPr>
          <w:rFonts w:ascii="Arial Narrow" w:hAnsi="Arial Narrow" w:cstheme="minorHAnsi"/>
        </w:rPr>
      </w:pPr>
      <w:r w:rsidRPr="00622F28">
        <w:rPr>
          <w:rFonts w:ascii="Arial Narrow" w:hAnsi="Arial Narrow" w:cstheme="minorHAnsi"/>
        </w:rPr>
        <w:t xml:space="preserve">Définir la stratégie foncière à l’échelle de l’opérations d’aménagement ou du projet immobilier et mise en œuvre opérationnelle ce cette stratégie </w:t>
      </w:r>
    </w:p>
    <w:p w:rsidR="009B38F4" w:rsidRPr="00622F28" w:rsidRDefault="009B38F4" w:rsidP="006F7DE1">
      <w:pPr>
        <w:pStyle w:val="Paragraphedeliste"/>
        <w:numPr>
          <w:ilvl w:val="0"/>
          <w:numId w:val="20"/>
        </w:numPr>
        <w:spacing w:after="120" w:line="240" w:lineRule="auto"/>
        <w:ind w:left="993" w:hanging="426"/>
        <w:jc w:val="both"/>
        <w:rPr>
          <w:rFonts w:ascii="Arial Narrow" w:hAnsi="Arial Narrow" w:cstheme="minorHAnsi"/>
          <w:strike/>
        </w:rPr>
      </w:pPr>
      <w:r w:rsidRPr="00622F28">
        <w:rPr>
          <w:rFonts w:ascii="Arial Narrow" w:hAnsi="Arial Narrow" w:cstheme="minorHAnsi"/>
        </w:rPr>
        <w:t>Etablissement des analyses synthétiques et argumentées d’opportunités pour proposer des arbitrages et préparation des dossiers à faire arbitrer en Comité d’engagement de la CARENE</w:t>
      </w:r>
    </w:p>
    <w:p w:rsidR="009B38F4" w:rsidRPr="00622F28" w:rsidRDefault="009B38F4" w:rsidP="006F7DE1">
      <w:pPr>
        <w:pStyle w:val="Paragraphedeliste"/>
        <w:numPr>
          <w:ilvl w:val="0"/>
          <w:numId w:val="20"/>
        </w:numPr>
        <w:ind w:left="993" w:hanging="426"/>
        <w:jc w:val="both"/>
        <w:rPr>
          <w:rFonts w:ascii="Arial Narrow" w:hAnsi="Arial Narrow"/>
        </w:rPr>
      </w:pPr>
      <w:r w:rsidRPr="00622F28">
        <w:rPr>
          <w:rFonts w:ascii="Arial Narrow" w:hAnsi="Arial Narrow"/>
        </w:rPr>
        <w:t>Gestion de dossiers d’acquisitions et de cessions foncières en périmètre de projets d’aménagement ou dans le diffus pour des projets immobiliers</w:t>
      </w:r>
    </w:p>
    <w:p w:rsidR="009B38F4" w:rsidRPr="00622F28" w:rsidRDefault="009B38F4" w:rsidP="006F7DE1">
      <w:pPr>
        <w:pStyle w:val="Paragraphedeliste"/>
        <w:numPr>
          <w:ilvl w:val="0"/>
          <w:numId w:val="20"/>
        </w:numPr>
        <w:ind w:left="993" w:hanging="426"/>
        <w:jc w:val="both"/>
        <w:rPr>
          <w:rFonts w:ascii="Arial Narrow" w:hAnsi="Arial Narrow"/>
        </w:rPr>
      </w:pPr>
      <w:r w:rsidRPr="00622F28">
        <w:rPr>
          <w:rFonts w:ascii="Arial Narrow" w:hAnsi="Arial Narrow"/>
        </w:rPr>
        <w:t>Supervision des décisions de préemption ou de délégation de préemption</w:t>
      </w:r>
    </w:p>
    <w:p w:rsidR="009B38F4" w:rsidRPr="00622F28" w:rsidRDefault="009B38F4" w:rsidP="006F7DE1">
      <w:pPr>
        <w:pStyle w:val="Paragraphedeliste"/>
        <w:numPr>
          <w:ilvl w:val="0"/>
          <w:numId w:val="20"/>
        </w:numPr>
        <w:ind w:left="993" w:hanging="426"/>
        <w:jc w:val="both"/>
        <w:rPr>
          <w:rFonts w:ascii="Arial Narrow" w:hAnsi="Arial Narrow"/>
        </w:rPr>
      </w:pPr>
      <w:r w:rsidRPr="00622F28">
        <w:rPr>
          <w:rFonts w:ascii="Arial Narrow" w:hAnsi="Arial Narrow"/>
        </w:rPr>
        <w:t>Supervision des courriers de renonciations au Droit de préemption</w:t>
      </w:r>
    </w:p>
    <w:p w:rsidR="009B38F4" w:rsidRPr="00622F28" w:rsidRDefault="009B38F4" w:rsidP="006F7DE1">
      <w:pPr>
        <w:pStyle w:val="Paragraphedeliste"/>
        <w:numPr>
          <w:ilvl w:val="0"/>
          <w:numId w:val="20"/>
        </w:numPr>
        <w:ind w:left="993"/>
        <w:jc w:val="both"/>
        <w:rPr>
          <w:rFonts w:ascii="Arial Narrow" w:hAnsi="Arial Narrow"/>
        </w:rPr>
      </w:pPr>
      <w:r w:rsidRPr="00622F28">
        <w:rPr>
          <w:rFonts w:ascii="Arial Narrow" w:hAnsi="Arial Narrow"/>
        </w:rPr>
        <w:t xml:space="preserve">Participation à l’élaboration des dossiers d’utilité publique en lien avec le service des projets urbains / apport d’expertise pour la sécurisation des procédures de DUP – participation à la conduite des procédures – participation aux phases d’expropriation en lien avec le responsable d’Unité. </w:t>
      </w:r>
    </w:p>
    <w:p w:rsidR="009B38F4" w:rsidRPr="00622F28" w:rsidRDefault="009B38F4" w:rsidP="006F7DE1">
      <w:pPr>
        <w:pStyle w:val="Paragraphedeliste"/>
        <w:numPr>
          <w:ilvl w:val="0"/>
          <w:numId w:val="20"/>
        </w:numPr>
        <w:ind w:left="993"/>
        <w:jc w:val="both"/>
        <w:rPr>
          <w:rFonts w:ascii="Arial Narrow" w:hAnsi="Arial Narrow"/>
        </w:rPr>
      </w:pPr>
      <w:r w:rsidRPr="00622F28">
        <w:rPr>
          <w:rFonts w:ascii="Arial Narrow" w:hAnsi="Arial Narrow"/>
        </w:rPr>
        <w:t>Dans le cadre d’une gestion dématérialisée, expertise pour les arbitrages politiques en vue de l’exercice du droit de préemption et organisation avec les communes de l’exercice délégué du DPU</w:t>
      </w:r>
    </w:p>
    <w:p w:rsidR="009B38F4" w:rsidRPr="00622F28" w:rsidRDefault="009B38F4" w:rsidP="006F7DE1">
      <w:pPr>
        <w:pStyle w:val="Paragraphedeliste"/>
        <w:numPr>
          <w:ilvl w:val="0"/>
          <w:numId w:val="20"/>
        </w:numPr>
        <w:spacing w:after="0" w:line="240" w:lineRule="auto"/>
        <w:ind w:left="993"/>
        <w:jc w:val="both"/>
        <w:rPr>
          <w:rFonts w:ascii="Arial Narrow" w:hAnsi="Arial Narrow" w:cstheme="minorHAnsi"/>
        </w:rPr>
      </w:pPr>
      <w:r w:rsidRPr="00622F28">
        <w:rPr>
          <w:rFonts w:ascii="Arial Narrow" w:hAnsi="Arial Narrow" w:cstheme="minorHAnsi"/>
        </w:rPr>
        <w:t xml:space="preserve">Transfert d’informations pour la bonne prise en considération des biens et de la mise en place d’une gestion adaptée sous la responsabilité du service « gestion du patrimoine », </w:t>
      </w:r>
    </w:p>
    <w:p w:rsidR="009B38F4" w:rsidRPr="00622F28" w:rsidRDefault="009B38F4" w:rsidP="006F7DE1">
      <w:pPr>
        <w:pStyle w:val="Paragraphedeliste"/>
        <w:numPr>
          <w:ilvl w:val="0"/>
          <w:numId w:val="20"/>
        </w:numPr>
        <w:spacing w:after="0" w:line="240" w:lineRule="auto"/>
        <w:ind w:left="993"/>
        <w:jc w:val="both"/>
        <w:rPr>
          <w:rFonts w:ascii="Arial Narrow" w:hAnsi="Arial Narrow" w:cstheme="minorHAnsi"/>
        </w:rPr>
      </w:pPr>
      <w:r w:rsidRPr="00622F28">
        <w:rPr>
          <w:rFonts w:ascii="Arial Narrow" w:hAnsi="Arial Narrow" w:cstheme="minorHAnsi"/>
        </w:rPr>
        <w:t>Expertise foncière et immobilière dans le cadre de l'élaboration des projets d'aménagement</w:t>
      </w:r>
    </w:p>
    <w:p w:rsidR="009B38F4" w:rsidRPr="00622F28" w:rsidRDefault="009B38F4" w:rsidP="006F7DE1">
      <w:pPr>
        <w:pStyle w:val="Paragraphedeliste"/>
        <w:numPr>
          <w:ilvl w:val="0"/>
          <w:numId w:val="20"/>
        </w:numPr>
        <w:ind w:left="993"/>
        <w:jc w:val="both"/>
        <w:rPr>
          <w:rFonts w:ascii="Arial Narrow" w:hAnsi="Arial Narrow"/>
        </w:rPr>
      </w:pPr>
      <w:r w:rsidRPr="00622F28">
        <w:rPr>
          <w:rFonts w:ascii="Arial Narrow" w:hAnsi="Arial Narrow"/>
        </w:rPr>
        <w:t xml:space="preserve">Supervision des passations de conventions ou baux liés au foncier </w:t>
      </w:r>
    </w:p>
    <w:p w:rsidR="009B38F4" w:rsidRPr="00622F28" w:rsidRDefault="009B38F4" w:rsidP="006F7DE1">
      <w:pPr>
        <w:pStyle w:val="Paragraphedeliste"/>
        <w:numPr>
          <w:ilvl w:val="0"/>
          <w:numId w:val="20"/>
        </w:numPr>
        <w:spacing w:line="240" w:lineRule="auto"/>
        <w:ind w:left="993"/>
        <w:jc w:val="both"/>
        <w:rPr>
          <w:rFonts w:ascii="Arial Narrow" w:hAnsi="Arial Narrow" w:cstheme="minorHAnsi"/>
        </w:rPr>
      </w:pPr>
      <w:r w:rsidRPr="00622F28">
        <w:rPr>
          <w:rFonts w:ascii="Arial Narrow" w:hAnsi="Arial Narrow"/>
        </w:rPr>
        <w:t>Tenue de tableaux de bords des signatures et du plan pluri annuel investissement en lien avec le responsable de l’unité</w:t>
      </w:r>
    </w:p>
    <w:p w:rsidR="009B38F4" w:rsidRPr="00622F28" w:rsidRDefault="009B38F4" w:rsidP="006F7DE1">
      <w:pPr>
        <w:pStyle w:val="Paragraphedeliste"/>
        <w:numPr>
          <w:ilvl w:val="0"/>
          <w:numId w:val="20"/>
        </w:numPr>
        <w:spacing w:after="0" w:line="240" w:lineRule="auto"/>
        <w:ind w:left="993"/>
        <w:jc w:val="both"/>
        <w:rPr>
          <w:rFonts w:ascii="Arial Narrow" w:hAnsi="Arial Narrow" w:cstheme="minorHAnsi"/>
        </w:rPr>
      </w:pPr>
      <w:r w:rsidRPr="00622F28">
        <w:rPr>
          <w:rFonts w:ascii="Arial Narrow" w:hAnsi="Arial Narrow" w:cstheme="minorHAnsi"/>
        </w:rPr>
        <w:t>Définition et suivi des indicateurs d’évaluation et de contrôle de gestion</w:t>
      </w:r>
    </w:p>
    <w:p w:rsidR="009B38F4" w:rsidRPr="00622F28" w:rsidRDefault="009B38F4" w:rsidP="006F7DE1">
      <w:pPr>
        <w:pStyle w:val="Paragraphedeliste"/>
        <w:numPr>
          <w:ilvl w:val="0"/>
          <w:numId w:val="20"/>
        </w:numPr>
        <w:spacing w:after="0" w:line="240" w:lineRule="auto"/>
        <w:ind w:left="993"/>
        <w:jc w:val="both"/>
        <w:rPr>
          <w:rFonts w:ascii="Arial Narrow" w:hAnsi="Arial Narrow" w:cstheme="minorHAnsi"/>
        </w:rPr>
      </w:pPr>
      <w:r w:rsidRPr="00622F28">
        <w:rPr>
          <w:rFonts w:ascii="Arial Narrow" w:hAnsi="Arial Narrow" w:cstheme="minorHAnsi"/>
        </w:rPr>
        <w:t>Paramétrage QGIS et Intragéo</w:t>
      </w:r>
    </w:p>
    <w:p w:rsidR="00C47B92" w:rsidRPr="00C47B92" w:rsidRDefault="00C47B92" w:rsidP="00A95A6B">
      <w:pPr>
        <w:pStyle w:val="TEXTETABLEAU"/>
        <w:framePr w:hSpace="0" w:wrap="auto" w:vAnchor="margin" w:yAlign="inline"/>
        <w:numPr>
          <w:ilvl w:val="0"/>
          <w:numId w:val="0"/>
        </w:numPr>
        <w:suppressOverlap w:val="0"/>
        <w:rPr>
          <w:rFonts w:ascii="Arial Narrow" w:hAnsi="Arial Narrow"/>
          <w:sz w:val="22"/>
          <w:szCs w:val="22"/>
        </w:rPr>
      </w:pPr>
    </w:p>
    <w:p w:rsidR="00C47B92" w:rsidRPr="00A46A41" w:rsidRDefault="00C47B92" w:rsidP="00D6466D">
      <w:pPr>
        <w:pStyle w:val="Paragraphedeliste"/>
        <w:numPr>
          <w:ilvl w:val="0"/>
          <w:numId w:val="22"/>
        </w:numPr>
        <w:spacing w:after="120" w:line="240" w:lineRule="auto"/>
        <w:jc w:val="both"/>
        <w:rPr>
          <w:rFonts w:ascii="Arial Narrow" w:hAnsi="Arial Narrow" w:cstheme="minorHAnsi"/>
          <w:b/>
        </w:rPr>
      </w:pPr>
      <w:r w:rsidRPr="00D6466D">
        <w:rPr>
          <w:rFonts w:ascii="Arial Narrow" w:hAnsi="Arial Narrow" w:cstheme="minorHAnsi"/>
          <w:b/>
          <w:u w:val="single"/>
        </w:rPr>
        <w:t>Activités secondaires</w:t>
      </w:r>
      <w:r w:rsidRPr="00A46A41">
        <w:rPr>
          <w:rFonts w:ascii="Arial Narrow" w:hAnsi="Arial Narrow" w:cstheme="minorHAnsi"/>
          <w:b/>
        </w:rPr>
        <w:t> :</w:t>
      </w:r>
    </w:p>
    <w:p w:rsidR="009B38F4" w:rsidRPr="00622F28" w:rsidRDefault="009B38F4" w:rsidP="006F7DE1">
      <w:pPr>
        <w:pStyle w:val="TEXTETABLEAU"/>
        <w:framePr w:hSpace="0" w:wrap="auto" w:vAnchor="margin" w:yAlign="inline"/>
        <w:numPr>
          <w:ilvl w:val="0"/>
          <w:numId w:val="21"/>
        </w:numPr>
        <w:tabs>
          <w:tab w:val="clear" w:pos="113"/>
          <w:tab w:val="clear" w:pos="142"/>
          <w:tab w:val="left" w:pos="993"/>
        </w:tabs>
        <w:ind w:left="993" w:hanging="425"/>
        <w:suppressOverlap w:val="0"/>
        <w:jc w:val="both"/>
        <w:rPr>
          <w:rFonts w:ascii="Arial Narrow" w:hAnsi="Arial Narrow"/>
          <w:sz w:val="22"/>
          <w:szCs w:val="22"/>
        </w:rPr>
      </w:pPr>
      <w:r w:rsidRPr="00622F28">
        <w:rPr>
          <w:rFonts w:ascii="Arial Narrow" w:hAnsi="Arial Narrow"/>
          <w:sz w:val="22"/>
          <w:szCs w:val="22"/>
        </w:rPr>
        <w:t xml:space="preserve">Analyse des DIA SAFER et supervision de la gestion des DIA SAFER par l’assistante du service dans le cadre de la mise en œuvre du volet foncier de la politique agricole en lien avec les partenaires institutionnels et professionnels et </w:t>
      </w:r>
      <w:r w:rsidRPr="00622F28">
        <w:rPr>
          <w:rFonts w:ascii="Arial Narrow" w:hAnsi="Arial Narrow" w:cstheme="minorHAnsi"/>
          <w:sz w:val="22"/>
          <w:szCs w:val="22"/>
        </w:rPr>
        <w:t xml:space="preserve">mise en œuvre des actions foncières du PEAN et de la convention pluriannuelle avec la Chambre d’agriculture 44. </w:t>
      </w:r>
    </w:p>
    <w:p w:rsidR="009B38F4" w:rsidRPr="003F57EF" w:rsidRDefault="009B38F4" w:rsidP="006F7DE1">
      <w:pPr>
        <w:pStyle w:val="TEXTETABLEAU"/>
        <w:framePr w:hSpace="0" w:wrap="auto" w:vAnchor="margin" w:yAlign="inline"/>
        <w:numPr>
          <w:ilvl w:val="0"/>
          <w:numId w:val="21"/>
        </w:numPr>
        <w:tabs>
          <w:tab w:val="clear" w:pos="113"/>
          <w:tab w:val="clear" w:pos="142"/>
          <w:tab w:val="left" w:pos="993"/>
        </w:tabs>
        <w:ind w:left="993" w:hanging="425"/>
        <w:suppressOverlap w:val="0"/>
        <w:jc w:val="both"/>
      </w:pPr>
      <w:r w:rsidRPr="00622F28">
        <w:rPr>
          <w:rFonts w:ascii="Arial Narrow" w:hAnsi="Arial Narrow"/>
          <w:sz w:val="22"/>
          <w:szCs w:val="22"/>
        </w:rPr>
        <w:t>Recherche et veille réglementaire</w:t>
      </w:r>
      <w:r w:rsidRPr="003F57EF">
        <w:t xml:space="preserve"> </w:t>
      </w:r>
    </w:p>
    <w:p w:rsidR="00C47B92" w:rsidRPr="00C47B92" w:rsidRDefault="00C47B92" w:rsidP="00A95A6B">
      <w:pPr>
        <w:pStyle w:val="TEXTETABLEAU"/>
        <w:framePr w:hSpace="0" w:wrap="auto" w:vAnchor="margin" w:yAlign="inline"/>
        <w:numPr>
          <w:ilvl w:val="0"/>
          <w:numId w:val="0"/>
        </w:numPr>
        <w:suppressOverlap w:val="0"/>
        <w:rPr>
          <w:rFonts w:ascii="Arial Narrow" w:hAnsi="Arial Narrow"/>
          <w:sz w:val="22"/>
          <w:szCs w:val="22"/>
        </w:rPr>
      </w:pPr>
    </w:p>
    <w:p w:rsidR="00C47B92" w:rsidRPr="00C47B92" w:rsidRDefault="00C47B92" w:rsidP="00A95A6B">
      <w:pPr>
        <w:pStyle w:val="TEXTETABLEAU"/>
        <w:framePr w:hSpace="0" w:wrap="auto" w:vAnchor="margin" w:yAlign="inline"/>
        <w:numPr>
          <w:ilvl w:val="0"/>
          <w:numId w:val="0"/>
        </w:numPr>
        <w:suppressOverlap w:val="0"/>
        <w:rPr>
          <w:rFonts w:ascii="Arial Narrow" w:hAnsi="Arial Narrow"/>
          <w:sz w:val="22"/>
          <w:szCs w:val="22"/>
        </w:rPr>
      </w:pPr>
    </w:p>
    <w:p w:rsidR="00A95A6B" w:rsidRPr="00C47B92" w:rsidRDefault="00A95A6B" w:rsidP="00A95A6B">
      <w:pPr>
        <w:spacing w:after="0" w:line="240" w:lineRule="auto"/>
        <w:rPr>
          <w:rFonts w:ascii="Arial Narrow" w:eastAsia="Times New Roman" w:hAnsi="Arial Narrow" w:cs="Times New Roman"/>
          <w:b/>
          <w:u w:val="single"/>
          <w:lang w:eastAsia="fr-FR"/>
        </w:rPr>
      </w:pPr>
      <w:r w:rsidRPr="00C47B92">
        <w:rPr>
          <w:rFonts w:ascii="Arial Narrow" w:eastAsia="Times New Roman" w:hAnsi="Arial Narrow" w:cs="Times New Roman"/>
          <w:b/>
          <w:u w:val="single"/>
          <w:lang w:eastAsia="fr-FR"/>
        </w:rPr>
        <w:t>Profil </w:t>
      </w:r>
      <w:r w:rsidR="00622F28">
        <w:rPr>
          <w:rFonts w:ascii="Arial Narrow" w:eastAsia="Times New Roman" w:hAnsi="Arial Narrow" w:cs="Times New Roman"/>
          <w:b/>
          <w:u w:val="single"/>
          <w:lang w:eastAsia="fr-FR"/>
        </w:rPr>
        <w:t xml:space="preserve">recherché </w:t>
      </w:r>
      <w:r w:rsidRPr="00C47B92">
        <w:rPr>
          <w:rFonts w:ascii="Arial Narrow" w:eastAsia="Times New Roman" w:hAnsi="Arial Narrow" w:cs="Times New Roman"/>
          <w:b/>
          <w:u w:val="single"/>
          <w:lang w:eastAsia="fr-FR"/>
        </w:rPr>
        <w:t>:</w:t>
      </w:r>
    </w:p>
    <w:p w:rsidR="00A95A6B" w:rsidRDefault="00A95A6B" w:rsidP="00A95A6B">
      <w:pPr>
        <w:spacing w:after="0" w:line="240" w:lineRule="auto"/>
        <w:rPr>
          <w:rFonts w:ascii="Arial Narrow" w:eastAsia="Times New Roman" w:hAnsi="Arial Narrow" w:cs="Times New Roman"/>
          <w:b/>
          <w:u w:val="single"/>
          <w:lang w:eastAsia="fr-FR"/>
        </w:rPr>
      </w:pPr>
    </w:p>
    <w:p w:rsidR="00622F28" w:rsidRPr="006F7DE1" w:rsidRDefault="00622F28" w:rsidP="006F7DE1">
      <w:pPr>
        <w:pStyle w:val="Paragraphedeliste"/>
        <w:numPr>
          <w:ilvl w:val="0"/>
          <w:numId w:val="18"/>
        </w:numPr>
        <w:spacing w:after="0"/>
        <w:ind w:left="709" w:hanging="426"/>
        <w:jc w:val="both"/>
        <w:rPr>
          <w:rFonts w:ascii="Arial Narrow" w:hAnsi="Arial Narrow" w:cstheme="minorHAnsi"/>
        </w:rPr>
      </w:pPr>
      <w:r w:rsidRPr="006F7DE1">
        <w:rPr>
          <w:rFonts w:ascii="Arial Narrow" w:hAnsi="Arial Narrow" w:cstheme="minorHAnsi"/>
        </w:rPr>
        <w:t xml:space="preserve">Maîtrise des procédures et </w:t>
      </w:r>
      <w:r w:rsidR="006F7DE1" w:rsidRPr="006F7DE1">
        <w:rPr>
          <w:rFonts w:ascii="Arial Narrow" w:hAnsi="Arial Narrow" w:cstheme="minorHAnsi"/>
        </w:rPr>
        <w:t xml:space="preserve">de la </w:t>
      </w:r>
      <w:r w:rsidRPr="006F7DE1">
        <w:rPr>
          <w:rFonts w:ascii="Arial Narrow" w:hAnsi="Arial Narrow" w:cstheme="minorHAnsi"/>
        </w:rPr>
        <w:t>réglementation</w:t>
      </w:r>
      <w:r w:rsidRPr="006F7DE1">
        <w:rPr>
          <w:rFonts w:ascii="Arial Narrow" w:hAnsi="Arial Narrow" w:cstheme="minorHAnsi"/>
        </w:rPr>
        <w:t xml:space="preserve"> propres au champ d’intervention </w:t>
      </w:r>
    </w:p>
    <w:p w:rsidR="00622F28" w:rsidRPr="006F7DE1" w:rsidRDefault="00622F28" w:rsidP="006F7DE1">
      <w:pPr>
        <w:pStyle w:val="Paragraphedeliste"/>
        <w:numPr>
          <w:ilvl w:val="0"/>
          <w:numId w:val="18"/>
        </w:numPr>
        <w:spacing w:after="0"/>
        <w:ind w:left="709" w:hanging="426"/>
        <w:jc w:val="both"/>
        <w:rPr>
          <w:rFonts w:ascii="Arial Narrow" w:hAnsi="Arial Narrow" w:cstheme="minorHAnsi"/>
        </w:rPr>
      </w:pPr>
      <w:r w:rsidRPr="006F7DE1">
        <w:rPr>
          <w:rFonts w:ascii="Arial Narrow" w:hAnsi="Arial Narrow" w:cstheme="minorHAnsi"/>
        </w:rPr>
        <w:t>Connaissance du code de l’urbanisme, du code de l’expropriation, de la fiscalité immobilière et de l’urbanisme, du code de la propriété foncière, du code de la construction, des marchés publics</w:t>
      </w:r>
    </w:p>
    <w:p w:rsidR="009B38F4" w:rsidRPr="006F7DE1" w:rsidRDefault="009B38F4" w:rsidP="006F7DE1">
      <w:pPr>
        <w:numPr>
          <w:ilvl w:val="0"/>
          <w:numId w:val="18"/>
        </w:numPr>
        <w:spacing w:after="0"/>
        <w:ind w:left="709"/>
        <w:jc w:val="both"/>
        <w:rPr>
          <w:rFonts w:ascii="Arial Narrow" w:hAnsi="Arial Narrow" w:cstheme="minorHAnsi"/>
        </w:rPr>
      </w:pPr>
      <w:r w:rsidRPr="006F7DE1">
        <w:rPr>
          <w:rFonts w:ascii="Arial Narrow" w:hAnsi="Arial Narrow" w:cstheme="minorHAnsi"/>
        </w:rPr>
        <w:t>Conna</w:t>
      </w:r>
      <w:r w:rsidR="00622F28" w:rsidRPr="006F7DE1">
        <w:rPr>
          <w:rFonts w:ascii="Arial Narrow" w:hAnsi="Arial Narrow" w:cstheme="minorHAnsi"/>
        </w:rPr>
        <w:t xml:space="preserve">issance des marchés fonciers, </w:t>
      </w:r>
      <w:r w:rsidRPr="006F7DE1">
        <w:rPr>
          <w:rFonts w:ascii="Arial Narrow" w:hAnsi="Arial Narrow" w:cstheme="minorHAnsi"/>
        </w:rPr>
        <w:t>des critères d'évolution des prix fonciers et immobiliers</w:t>
      </w:r>
      <w:r w:rsidR="00622F28" w:rsidRPr="006F7DE1">
        <w:rPr>
          <w:rFonts w:ascii="Arial Narrow" w:hAnsi="Arial Narrow" w:cstheme="minorHAnsi"/>
        </w:rPr>
        <w:t xml:space="preserve"> et des acteurs</w:t>
      </w:r>
      <w:r w:rsidR="006F7DE1" w:rsidRPr="006F7DE1">
        <w:rPr>
          <w:rFonts w:ascii="Arial Narrow" w:hAnsi="Arial Narrow" w:cstheme="minorHAnsi"/>
        </w:rPr>
        <w:t xml:space="preserve"> du foncier</w:t>
      </w:r>
    </w:p>
    <w:p w:rsidR="009B38F4" w:rsidRPr="006F7DE1" w:rsidRDefault="009B38F4" w:rsidP="006F7DE1">
      <w:pPr>
        <w:numPr>
          <w:ilvl w:val="0"/>
          <w:numId w:val="18"/>
        </w:numPr>
        <w:spacing w:after="0"/>
        <w:ind w:left="709"/>
        <w:jc w:val="both"/>
        <w:rPr>
          <w:rFonts w:ascii="Arial Narrow" w:hAnsi="Arial Narrow" w:cstheme="minorHAnsi"/>
        </w:rPr>
      </w:pPr>
      <w:r w:rsidRPr="006F7DE1">
        <w:rPr>
          <w:rFonts w:ascii="Arial Narrow" w:hAnsi="Arial Narrow" w:cstheme="minorHAnsi"/>
        </w:rPr>
        <w:t xml:space="preserve">Maîtrise de l'observation foncière </w:t>
      </w:r>
    </w:p>
    <w:p w:rsidR="009B38F4" w:rsidRPr="006F7DE1" w:rsidRDefault="009B38F4" w:rsidP="006F7DE1">
      <w:pPr>
        <w:pStyle w:val="SAVOIR"/>
        <w:numPr>
          <w:ilvl w:val="0"/>
          <w:numId w:val="18"/>
        </w:numPr>
        <w:ind w:left="709"/>
        <w:jc w:val="both"/>
        <w:rPr>
          <w:rFonts w:ascii="Arial Narrow" w:hAnsi="Arial Narrow" w:cstheme="minorHAnsi"/>
          <w:b w:val="0"/>
          <w:color w:val="auto"/>
          <w:szCs w:val="22"/>
        </w:rPr>
      </w:pPr>
      <w:r w:rsidRPr="006F7DE1">
        <w:rPr>
          <w:rFonts w:ascii="Arial Narrow" w:hAnsi="Arial Narrow" w:cstheme="minorHAnsi"/>
          <w:b w:val="0"/>
          <w:color w:val="auto"/>
          <w:szCs w:val="22"/>
        </w:rPr>
        <w:t xml:space="preserve">Maîtrise des outils SIG </w:t>
      </w:r>
    </w:p>
    <w:p w:rsidR="009B38F4" w:rsidRPr="006F7DE1" w:rsidRDefault="009B38F4" w:rsidP="006F7DE1">
      <w:pPr>
        <w:numPr>
          <w:ilvl w:val="0"/>
          <w:numId w:val="18"/>
        </w:numPr>
        <w:spacing w:after="0"/>
        <w:ind w:left="709"/>
        <w:jc w:val="both"/>
        <w:rPr>
          <w:rFonts w:ascii="Arial Narrow" w:hAnsi="Arial Narrow"/>
        </w:rPr>
      </w:pPr>
      <w:r w:rsidRPr="006F7DE1">
        <w:rPr>
          <w:rFonts w:ascii="Arial Narrow" w:hAnsi="Arial Narrow" w:cstheme="minorHAnsi"/>
        </w:rPr>
        <w:t>Connaissance des principes de la gestion locative des biens (baux et conventions d'occupation temporaire du domaine public)</w:t>
      </w:r>
    </w:p>
    <w:p w:rsidR="006F7DE1" w:rsidRPr="006F7DE1" w:rsidRDefault="006F7DE1" w:rsidP="006F7DE1">
      <w:pPr>
        <w:pStyle w:val="Paragraphedeliste"/>
        <w:numPr>
          <w:ilvl w:val="0"/>
          <w:numId w:val="18"/>
        </w:numPr>
        <w:spacing w:after="0"/>
        <w:ind w:left="709" w:hanging="426"/>
        <w:jc w:val="both"/>
        <w:rPr>
          <w:rFonts w:ascii="Arial Narrow" w:hAnsi="Arial Narrow" w:cstheme="minorHAnsi"/>
        </w:rPr>
      </w:pPr>
      <w:r w:rsidRPr="006F7DE1">
        <w:rPr>
          <w:rFonts w:ascii="Arial Narrow" w:hAnsi="Arial Narrow" w:cstheme="minorHAnsi"/>
        </w:rPr>
        <w:t xml:space="preserve">Maîtrise des techniques de négociation, de communication, d’animation et de concertation </w:t>
      </w:r>
    </w:p>
    <w:p w:rsidR="006F7DE1" w:rsidRPr="006F7DE1" w:rsidRDefault="006F7DE1" w:rsidP="006F7DE1">
      <w:pPr>
        <w:pStyle w:val="Paragraphedeliste"/>
        <w:numPr>
          <w:ilvl w:val="0"/>
          <w:numId w:val="18"/>
        </w:numPr>
        <w:spacing w:after="0"/>
        <w:ind w:left="709" w:hanging="426"/>
        <w:jc w:val="both"/>
        <w:rPr>
          <w:rFonts w:ascii="Arial Narrow" w:hAnsi="Arial Narrow" w:cstheme="minorHAnsi"/>
        </w:rPr>
      </w:pPr>
      <w:r w:rsidRPr="006F7DE1">
        <w:rPr>
          <w:rFonts w:ascii="Arial Narrow" w:hAnsi="Arial Narrow" w:cstheme="minorHAnsi"/>
        </w:rPr>
        <w:t xml:space="preserve">Savoir analyser et contextualiser un projet, une situation </w:t>
      </w:r>
    </w:p>
    <w:p w:rsidR="006F7DE1" w:rsidRPr="006F7DE1" w:rsidRDefault="006F7DE1" w:rsidP="006F7DE1">
      <w:pPr>
        <w:pStyle w:val="Paragraphedeliste"/>
        <w:numPr>
          <w:ilvl w:val="0"/>
          <w:numId w:val="18"/>
        </w:numPr>
        <w:spacing w:after="0"/>
        <w:ind w:left="709" w:hanging="426"/>
        <w:jc w:val="both"/>
        <w:rPr>
          <w:rFonts w:ascii="Arial Narrow" w:hAnsi="Arial Narrow" w:cstheme="minorHAnsi"/>
        </w:rPr>
      </w:pPr>
      <w:r w:rsidRPr="006F7DE1">
        <w:rPr>
          <w:rFonts w:ascii="Arial Narrow" w:hAnsi="Arial Narrow" w:cstheme="minorHAnsi"/>
        </w:rPr>
        <w:t>Savoir rédiger des synthèses, aller à l’essentiel, développer des argumentaires</w:t>
      </w:r>
    </w:p>
    <w:p w:rsidR="006F7DE1" w:rsidRPr="006F7DE1" w:rsidRDefault="006F7DE1" w:rsidP="006F7DE1">
      <w:pPr>
        <w:pStyle w:val="Paragraphedeliste"/>
        <w:numPr>
          <w:ilvl w:val="0"/>
          <w:numId w:val="18"/>
        </w:numPr>
        <w:spacing w:after="0"/>
        <w:ind w:left="709" w:hanging="426"/>
        <w:jc w:val="both"/>
        <w:rPr>
          <w:rFonts w:ascii="Arial Narrow" w:hAnsi="Arial Narrow" w:cstheme="minorHAnsi"/>
          <w:b/>
        </w:rPr>
      </w:pPr>
      <w:r w:rsidRPr="006F7DE1">
        <w:rPr>
          <w:rFonts w:ascii="Arial Narrow" w:hAnsi="Arial Narrow" w:cstheme="minorHAnsi"/>
        </w:rPr>
        <w:t xml:space="preserve">Savoir mettre en forme et vulgariser, expliquer et provoquer l’adhésion aux idées </w:t>
      </w:r>
    </w:p>
    <w:p w:rsidR="006F7DE1" w:rsidRPr="006F7DE1" w:rsidRDefault="006F7DE1" w:rsidP="006F7DE1">
      <w:pPr>
        <w:pStyle w:val="Paragraphedeliste"/>
        <w:numPr>
          <w:ilvl w:val="0"/>
          <w:numId w:val="18"/>
        </w:numPr>
        <w:spacing w:after="0"/>
        <w:ind w:left="709" w:hanging="426"/>
        <w:jc w:val="both"/>
        <w:rPr>
          <w:rFonts w:ascii="Arial Narrow" w:hAnsi="Arial Narrow" w:cstheme="minorHAnsi"/>
          <w:b/>
        </w:rPr>
      </w:pPr>
      <w:r w:rsidRPr="006F7DE1">
        <w:rPr>
          <w:rFonts w:ascii="Arial Narrow" w:hAnsi="Arial Narrow" w:cstheme="minorHAnsi"/>
        </w:rPr>
        <w:t xml:space="preserve">Savoir travailler en équipe </w:t>
      </w:r>
    </w:p>
    <w:p w:rsidR="006F7DE1" w:rsidRPr="006F7DE1" w:rsidRDefault="006F7DE1" w:rsidP="006F7DE1">
      <w:pPr>
        <w:pStyle w:val="Paragraphedeliste"/>
        <w:numPr>
          <w:ilvl w:val="0"/>
          <w:numId w:val="18"/>
        </w:numPr>
        <w:spacing w:after="0"/>
        <w:ind w:left="709" w:hanging="426"/>
        <w:jc w:val="both"/>
        <w:rPr>
          <w:rFonts w:ascii="Arial Narrow" w:hAnsi="Arial Narrow" w:cstheme="minorHAnsi"/>
          <w:b/>
        </w:rPr>
      </w:pPr>
      <w:r w:rsidRPr="006F7DE1">
        <w:rPr>
          <w:rFonts w:ascii="Arial Narrow" w:hAnsi="Arial Narrow" w:cstheme="minorHAnsi"/>
        </w:rPr>
        <w:t xml:space="preserve">Savoir rechercher des financements et assurer le suivi financier des politiques publiques </w:t>
      </w:r>
    </w:p>
    <w:p w:rsidR="006F7DE1" w:rsidRPr="006F7DE1" w:rsidRDefault="006F7DE1" w:rsidP="006F7DE1">
      <w:pPr>
        <w:pStyle w:val="Paragraphedeliste"/>
        <w:numPr>
          <w:ilvl w:val="0"/>
          <w:numId w:val="18"/>
        </w:numPr>
        <w:spacing w:after="0"/>
        <w:ind w:left="709" w:hanging="426"/>
        <w:jc w:val="both"/>
        <w:rPr>
          <w:rFonts w:ascii="Arial Narrow" w:hAnsi="Arial Narrow" w:cstheme="minorHAnsi"/>
        </w:rPr>
      </w:pPr>
      <w:r w:rsidRPr="006F7DE1">
        <w:rPr>
          <w:rFonts w:ascii="Arial Narrow" w:hAnsi="Arial Narrow" w:cstheme="minorHAnsi"/>
        </w:rPr>
        <w:t xml:space="preserve">Disposer d’autonomie et de réactivité </w:t>
      </w:r>
    </w:p>
    <w:p w:rsidR="006F7DE1" w:rsidRPr="006F7DE1" w:rsidRDefault="006F7DE1" w:rsidP="006F7DE1">
      <w:pPr>
        <w:pStyle w:val="textesavoir"/>
        <w:framePr w:hSpace="0" w:wrap="auto" w:vAnchor="margin" w:yAlign="inline"/>
        <w:numPr>
          <w:ilvl w:val="0"/>
          <w:numId w:val="18"/>
        </w:numPr>
        <w:spacing w:after="0"/>
        <w:ind w:left="709"/>
        <w:suppressOverlap w:val="0"/>
        <w:jc w:val="both"/>
        <w:rPr>
          <w:rFonts w:ascii="Arial Narrow" w:hAnsi="Arial Narrow"/>
          <w:sz w:val="22"/>
          <w:szCs w:val="22"/>
        </w:rPr>
      </w:pPr>
      <w:r w:rsidRPr="006F7DE1">
        <w:rPr>
          <w:rFonts w:ascii="Arial Narrow" w:hAnsi="Arial Narrow" w:cstheme="minorHAnsi"/>
          <w:sz w:val="22"/>
          <w:szCs w:val="22"/>
        </w:rPr>
        <w:t>Savoir anticiper, planifier et évaluer les besoins d’alerte</w:t>
      </w:r>
    </w:p>
    <w:p w:rsidR="006F7DE1" w:rsidRPr="006F7DE1" w:rsidRDefault="006F7DE1" w:rsidP="006F7DE1">
      <w:pPr>
        <w:numPr>
          <w:ilvl w:val="0"/>
          <w:numId w:val="18"/>
        </w:numPr>
        <w:spacing w:after="0"/>
        <w:ind w:left="709"/>
        <w:jc w:val="both"/>
        <w:rPr>
          <w:rFonts w:ascii="Arial Narrow" w:hAnsi="Arial Narrow"/>
        </w:rPr>
      </w:pPr>
      <w:r w:rsidRPr="006F7DE1">
        <w:rPr>
          <w:rFonts w:ascii="Arial Narrow" w:hAnsi="Arial Narrow"/>
        </w:rPr>
        <w:t xml:space="preserve">Faire preuve d’écoute, d’ouverture et de créativité </w:t>
      </w:r>
    </w:p>
    <w:p w:rsidR="00EF0077" w:rsidRDefault="00EF0077" w:rsidP="007F171C">
      <w:pPr>
        <w:spacing w:before="60" w:after="0" w:line="240" w:lineRule="auto"/>
        <w:rPr>
          <w:rFonts w:ascii="Arial Narrow" w:eastAsia="Times New Roman" w:hAnsi="Arial Narrow" w:cs="Times New Roman"/>
          <w:lang w:eastAsia="fr-FR"/>
        </w:rPr>
      </w:pPr>
    </w:p>
    <w:p w:rsidR="007F171C" w:rsidRDefault="007F171C" w:rsidP="007F171C">
      <w:pPr>
        <w:spacing w:before="60" w:after="0" w:line="240" w:lineRule="auto"/>
        <w:rPr>
          <w:rFonts w:ascii="Arial Narrow" w:eastAsia="Times New Roman" w:hAnsi="Arial Narrow" w:cs="Times New Roman"/>
          <w:lang w:eastAsia="fr-FR"/>
        </w:rPr>
      </w:pPr>
    </w:p>
    <w:p w:rsidR="007F171C" w:rsidRPr="00A95A6B" w:rsidRDefault="007F171C" w:rsidP="007F171C">
      <w:pPr>
        <w:spacing w:before="60" w:after="0" w:line="240" w:lineRule="auto"/>
        <w:rPr>
          <w:rFonts w:ascii="Arial Narrow" w:eastAsia="Times New Roman" w:hAnsi="Arial Narrow" w:cs="Times New Roman"/>
          <w:lang w:eastAsia="fr-FR"/>
        </w:rPr>
      </w:pP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Adress</w:t>
      </w:r>
      <w:r w:rsidR="00AA5527" w:rsidRPr="00A95A6B">
        <w:rPr>
          <w:rFonts w:ascii="Arial Narrow" w:hAnsi="Arial Narrow"/>
          <w:b/>
        </w:rPr>
        <w:t xml:space="preserve">er votre candidature </w:t>
      </w:r>
      <w:r w:rsidR="00100D32" w:rsidRPr="00A95A6B">
        <w:rPr>
          <w:rFonts w:ascii="Arial Narrow" w:hAnsi="Arial Narrow"/>
          <w:b/>
        </w:rPr>
        <w:t>(CV + lettre de motivation)</w:t>
      </w:r>
      <w:r w:rsidR="00AA5527" w:rsidRPr="00A95A6B">
        <w:rPr>
          <w:rFonts w:ascii="Arial Narrow" w:hAnsi="Arial Narrow"/>
          <w:b/>
        </w:rPr>
        <w:t> :</w:t>
      </w:r>
    </w:p>
    <w:p w:rsidR="006954AD" w:rsidRPr="00A95A6B" w:rsidRDefault="006954AD" w:rsidP="00ED2137">
      <w:pPr>
        <w:spacing w:after="0" w:line="240" w:lineRule="auto"/>
        <w:jc w:val="center"/>
        <w:rPr>
          <w:rFonts w:ascii="Arial Narrow" w:hAnsi="Arial Narrow"/>
          <w:b/>
        </w:rPr>
      </w:pP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Monsieur le Président de la CARENE</w:t>
      </w:r>
    </w:p>
    <w:p w:rsidR="008472E5" w:rsidRPr="00A95A6B" w:rsidRDefault="00ED2137" w:rsidP="00ED2137">
      <w:pPr>
        <w:spacing w:after="0" w:line="240" w:lineRule="auto"/>
        <w:jc w:val="center"/>
        <w:rPr>
          <w:rFonts w:ascii="Arial Narrow" w:hAnsi="Arial Narrow"/>
          <w:b/>
        </w:rPr>
      </w:pPr>
      <w:r w:rsidRPr="00A95A6B">
        <w:rPr>
          <w:rFonts w:ascii="Arial Narrow" w:hAnsi="Arial Narrow"/>
          <w:b/>
        </w:rPr>
        <w:t xml:space="preserve">BP 305 </w:t>
      </w:r>
      <w:r w:rsidR="008472E5" w:rsidRPr="00A95A6B">
        <w:rPr>
          <w:rFonts w:ascii="Arial Narrow" w:hAnsi="Arial Narrow"/>
          <w:b/>
        </w:rPr>
        <w:t>–</w:t>
      </w:r>
      <w:r w:rsidRPr="00A95A6B">
        <w:rPr>
          <w:rFonts w:ascii="Arial Narrow" w:hAnsi="Arial Narrow"/>
          <w:b/>
        </w:rPr>
        <w:t xml:space="preserve"> </w:t>
      </w: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44605 - SAINT NAZAIRE CEDEX</w:t>
      </w:r>
    </w:p>
    <w:p w:rsidR="00ED2137" w:rsidRPr="00A95A6B" w:rsidRDefault="00ED2137" w:rsidP="00ED2137">
      <w:pPr>
        <w:keepNext/>
        <w:spacing w:after="0" w:line="240" w:lineRule="auto"/>
        <w:jc w:val="center"/>
        <w:outlineLvl w:val="0"/>
        <w:rPr>
          <w:rFonts w:ascii="Arial Narrow" w:hAnsi="Arial Narrow"/>
          <w:b/>
        </w:rPr>
      </w:pPr>
      <w:r w:rsidRPr="00A95A6B">
        <w:rPr>
          <w:rFonts w:ascii="Arial Narrow" w:hAnsi="Arial Narrow"/>
          <w:b/>
        </w:rPr>
        <w:t>Tél. 02 51 16 48 48</w:t>
      </w:r>
    </w:p>
    <w:p w:rsidR="006954AD" w:rsidRPr="00A95A6B" w:rsidRDefault="006954AD" w:rsidP="00ED2137">
      <w:pPr>
        <w:keepNext/>
        <w:spacing w:after="0" w:line="240" w:lineRule="auto"/>
        <w:jc w:val="center"/>
        <w:outlineLvl w:val="0"/>
        <w:rPr>
          <w:rFonts w:ascii="Arial Narrow" w:hAnsi="Arial Narrow"/>
          <w:b/>
        </w:rPr>
      </w:pPr>
    </w:p>
    <w:p w:rsidR="00FA721B" w:rsidRDefault="00567C4E" w:rsidP="00567C4E">
      <w:pPr>
        <w:keepNext/>
        <w:spacing w:after="0" w:line="240" w:lineRule="auto"/>
        <w:jc w:val="center"/>
        <w:outlineLvl w:val="0"/>
        <w:rPr>
          <w:rFonts w:ascii="Arial Narrow" w:hAnsi="Arial Narrow"/>
          <w:b/>
          <w:u w:val="single"/>
        </w:rPr>
      </w:pPr>
      <w:r w:rsidRPr="00A95A6B">
        <w:rPr>
          <w:rFonts w:ascii="Arial Narrow" w:hAnsi="Arial Narrow"/>
          <w:b/>
          <w:u w:val="single"/>
        </w:rPr>
        <w:t xml:space="preserve">Avant le </w:t>
      </w:r>
      <w:r w:rsidR="006F7DE1">
        <w:rPr>
          <w:rFonts w:ascii="Arial Narrow" w:hAnsi="Arial Narrow"/>
          <w:b/>
          <w:u w:val="single"/>
        </w:rPr>
        <w:t>10 juillet</w:t>
      </w:r>
      <w:r w:rsidR="008E0080">
        <w:rPr>
          <w:rFonts w:ascii="Arial Narrow" w:hAnsi="Arial Narrow"/>
          <w:b/>
          <w:u w:val="single"/>
        </w:rPr>
        <w:t xml:space="preserve"> </w:t>
      </w:r>
      <w:r w:rsidR="006F7DE1">
        <w:rPr>
          <w:rFonts w:ascii="Arial Narrow" w:hAnsi="Arial Narrow"/>
          <w:b/>
          <w:u w:val="single"/>
        </w:rPr>
        <w:t>2021</w:t>
      </w:r>
    </w:p>
    <w:p w:rsidR="006F7DE1" w:rsidRDefault="006F7DE1" w:rsidP="00567C4E">
      <w:pPr>
        <w:keepNext/>
        <w:spacing w:after="0" w:line="240" w:lineRule="auto"/>
        <w:jc w:val="center"/>
        <w:outlineLvl w:val="0"/>
        <w:rPr>
          <w:rFonts w:ascii="Arial Narrow" w:hAnsi="Arial Narrow"/>
          <w:b/>
          <w:u w:val="single"/>
        </w:rPr>
      </w:pPr>
    </w:p>
    <w:p w:rsidR="006F7DE1" w:rsidRPr="00A95A6B" w:rsidRDefault="006F7DE1" w:rsidP="00567C4E">
      <w:pPr>
        <w:keepNext/>
        <w:spacing w:after="0" w:line="240" w:lineRule="auto"/>
        <w:jc w:val="center"/>
        <w:outlineLvl w:val="0"/>
        <w:rPr>
          <w:rFonts w:ascii="Arial Narrow" w:hAnsi="Arial Narrow" w:cs="Arial"/>
          <w:u w:val="single"/>
        </w:rPr>
      </w:pPr>
      <w:r>
        <w:rPr>
          <w:rFonts w:ascii="Arial Narrow" w:hAnsi="Arial Narrow"/>
          <w:b/>
          <w:u w:val="single"/>
        </w:rPr>
        <w:t>Entretiens de recrutement prévus semaine du 26 juillet 2021</w:t>
      </w:r>
    </w:p>
    <w:sectPr w:rsidR="006F7DE1" w:rsidRPr="00A95A6B"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D0" w:rsidRDefault="00A425D0" w:rsidP="000A2B04">
      <w:pPr>
        <w:spacing w:after="0" w:line="240" w:lineRule="auto"/>
      </w:pPr>
      <w:r>
        <w:separator/>
      </w:r>
    </w:p>
  </w:endnote>
  <w:endnote w:type="continuationSeparator" w:id="0">
    <w:p w:rsidR="00A425D0" w:rsidRDefault="00A425D0"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D0" w:rsidRDefault="00A425D0" w:rsidP="000A2B04">
      <w:pPr>
        <w:spacing w:after="0" w:line="240" w:lineRule="auto"/>
      </w:pPr>
      <w:r>
        <w:separator/>
      </w:r>
    </w:p>
  </w:footnote>
  <w:footnote w:type="continuationSeparator" w:id="0">
    <w:p w:rsidR="00A425D0" w:rsidRDefault="00A425D0"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C7C85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F04DF8"/>
    <w:multiLevelType w:val="hybridMultilevel"/>
    <w:tmpl w:val="81F075E2"/>
    <w:lvl w:ilvl="0" w:tplc="32DC73D8">
      <w:start w:val="1"/>
      <w:numFmt w:val="bullet"/>
      <w:pStyle w:val="TEXTETABLEAU"/>
      <w:lvlText w:val=""/>
      <w:lvlJc w:val="left"/>
      <w:pPr>
        <w:ind w:left="360" w:hanging="360"/>
      </w:pPr>
      <w:rPr>
        <w:rFonts w:ascii="Symbol" w:hAnsi="Symbol"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2" w15:restartNumberingAfterBreak="0">
    <w:nsid w:val="10693531"/>
    <w:multiLevelType w:val="hybridMultilevel"/>
    <w:tmpl w:val="B64899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4" w15:restartNumberingAfterBreak="0">
    <w:nsid w:val="1A2F3B12"/>
    <w:multiLevelType w:val="hybridMultilevel"/>
    <w:tmpl w:val="A4F6FDA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C30FE"/>
    <w:multiLevelType w:val="multilevel"/>
    <w:tmpl w:val="580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B2D02"/>
    <w:multiLevelType w:val="hybridMultilevel"/>
    <w:tmpl w:val="4D344468"/>
    <w:lvl w:ilvl="0" w:tplc="5B9AB520">
      <w:numFmt w:val="bullet"/>
      <w:lvlText w:val="-"/>
      <w:lvlJc w:val="left"/>
      <w:pPr>
        <w:ind w:left="1080" w:hanging="360"/>
      </w:pPr>
      <w:rPr>
        <w:rFonts w:ascii="Tw Cen MT" w:eastAsiaTheme="minorEastAsia" w:hAnsi="Tw Cen MT"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3E877CD0"/>
    <w:multiLevelType w:val="hybridMultilevel"/>
    <w:tmpl w:val="851AB5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AE5B58"/>
    <w:multiLevelType w:val="hybridMultilevel"/>
    <w:tmpl w:val="EC528686"/>
    <w:lvl w:ilvl="0" w:tplc="4238AA0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2D7787"/>
    <w:multiLevelType w:val="hybridMultilevel"/>
    <w:tmpl w:val="EE4A2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5DB701B0"/>
    <w:multiLevelType w:val="hybridMultilevel"/>
    <w:tmpl w:val="14A09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7"/>
  </w:num>
  <w:num w:numId="4">
    <w:abstractNumId w:val="18"/>
  </w:num>
  <w:num w:numId="5">
    <w:abstractNumId w:val="3"/>
  </w:num>
  <w:num w:numId="6">
    <w:abstractNumId w:val="5"/>
  </w:num>
  <w:num w:numId="7">
    <w:abstractNumId w:val="6"/>
  </w:num>
  <w:num w:numId="8">
    <w:abstractNumId w:val="16"/>
  </w:num>
  <w:num w:numId="9">
    <w:abstractNumId w:val="15"/>
  </w:num>
  <w:num w:numId="10">
    <w:abstractNumId w:val="11"/>
  </w:num>
  <w:num w:numId="11">
    <w:abstractNumId w:val="1"/>
  </w:num>
  <w:num w:numId="12">
    <w:abstractNumId w:val="1"/>
  </w:num>
  <w:num w:numId="13">
    <w:abstractNumId w:val="1"/>
  </w:num>
  <w:num w:numId="14">
    <w:abstractNumId w:val="1"/>
  </w:num>
  <w:num w:numId="15">
    <w:abstractNumId w:val="0"/>
  </w:num>
  <w:num w:numId="16">
    <w:abstractNumId w:val="14"/>
  </w:num>
  <w:num w:numId="17">
    <w:abstractNumId w:val="9"/>
  </w:num>
  <w:num w:numId="18">
    <w:abstractNumId w:val="12"/>
  </w:num>
  <w:num w:numId="19">
    <w:abstractNumId w:val="8"/>
  </w:num>
  <w:num w:numId="20">
    <w:abstractNumId w:val="2"/>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A54CC"/>
    <w:rsid w:val="000E55FE"/>
    <w:rsid w:val="00100D32"/>
    <w:rsid w:val="00111C4C"/>
    <w:rsid w:val="0016129E"/>
    <w:rsid w:val="001E6C40"/>
    <w:rsid w:val="00206029"/>
    <w:rsid w:val="00223415"/>
    <w:rsid w:val="002B3E72"/>
    <w:rsid w:val="00325094"/>
    <w:rsid w:val="00336940"/>
    <w:rsid w:val="003477AC"/>
    <w:rsid w:val="00347F17"/>
    <w:rsid w:val="00375A09"/>
    <w:rsid w:val="00375BEC"/>
    <w:rsid w:val="003D73D2"/>
    <w:rsid w:val="003E2833"/>
    <w:rsid w:val="0044085E"/>
    <w:rsid w:val="0044166E"/>
    <w:rsid w:val="00485143"/>
    <w:rsid w:val="004D3218"/>
    <w:rsid w:val="005076CE"/>
    <w:rsid w:val="00567C4E"/>
    <w:rsid w:val="005F57E2"/>
    <w:rsid w:val="00606807"/>
    <w:rsid w:val="006153A3"/>
    <w:rsid w:val="00622F28"/>
    <w:rsid w:val="006954AD"/>
    <w:rsid w:val="006B2D99"/>
    <w:rsid w:val="006B6B00"/>
    <w:rsid w:val="006F7DE1"/>
    <w:rsid w:val="007403AF"/>
    <w:rsid w:val="00781799"/>
    <w:rsid w:val="00796CAB"/>
    <w:rsid w:val="007D32D1"/>
    <w:rsid w:val="007E3C03"/>
    <w:rsid w:val="007F171C"/>
    <w:rsid w:val="008472E5"/>
    <w:rsid w:val="00860BF3"/>
    <w:rsid w:val="008E0080"/>
    <w:rsid w:val="008F15BF"/>
    <w:rsid w:val="008F5A4F"/>
    <w:rsid w:val="0094186C"/>
    <w:rsid w:val="009530C1"/>
    <w:rsid w:val="00973113"/>
    <w:rsid w:val="009742DE"/>
    <w:rsid w:val="00997A7F"/>
    <w:rsid w:val="009B25FE"/>
    <w:rsid w:val="009B38F4"/>
    <w:rsid w:val="00A34D4C"/>
    <w:rsid w:val="00A425D0"/>
    <w:rsid w:val="00A46A41"/>
    <w:rsid w:val="00A542D6"/>
    <w:rsid w:val="00A7246C"/>
    <w:rsid w:val="00A756E7"/>
    <w:rsid w:val="00A8302E"/>
    <w:rsid w:val="00A95A6B"/>
    <w:rsid w:val="00AA5527"/>
    <w:rsid w:val="00B053E8"/>
    <w:rsid w:val="00B15E09"/>
    <w:rsid w:val="00B50856"/>
    <w:rsid w:val="00B51418"/>
    <w:rsid w:val="00B91ED8"/>
    <w:rsid w:val="00BC5225"/>
    <w:rsid w:val="00BD3C3E"/>
    <w:rsid w:val="00C30A0A"/>
    <w:rsid w:val="00C47B92"/>
    <w:rsid w:val="00CA07BA"/>
    <w:rsid w:val="00CB58F6"/>
    <w:rsid w:val="00D23AE4"/>
    <w:rsid w:val="00D40C32"/>
    <w:rsid w:val="00D56F4B"/>
    <w:rsid w:val="00D6466D"/>
    <w:rsid w:val="00D76947"/>
    <w:rsid w:val="00D960BA"/>
    <w:rsid w:val="00DF43E9"/>
    <w:rsid w:val="00E01B49"/>
    <w:rsid w:val="00E57F3E"/>
    <w:rsid w:val="00E913E0"/>
    <w:rsid w:val="00EA3333"/>
    <w:rsid w:val="00EC19C7"/>
    <w:rsid w:val="00ED2137"/>
    <w:rsid w:val="00EF0077"/>
    <w:rsid w:val="00F54AFB"/>
    <w:rsid w:val="00FA153A"/>
    <w:rsid w:val="00FA721B"/>
    <w:rsid w:val="00FE2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CA279D"/>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99"/>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IDENTITE">
    <w:name w:val="IDENTITE"/>
    <w:qFormat/>
    <w:rsid w:val="00336940"/>
    <w:pPr>
      <w:tabs>
        <w:tab w:val="left" w:pos="142"/>
        <w:tab w:val="left" w:pos="2306"/>
      </w:tabs>
      <w:spacing w:after="80" w:line="216" w:lineRule="auto"/>
    </w:pPr>
    <w:rPr>
      <w:rFonts w:ascii="Tw Cen MT" w:eastAsiaTheme="minorEastAsia" w:hAnsi="Tw Cen MT"/>
      <w:sz w:val="18"/>
      <w:lang w:eastAsia="fr-FR"/>
    </w:rPr>
  </w:style>
  <w:style w:type="paragraph" w:customStyle="1" w:styleId="TEXTETABLEAU">
    <w:name w:val="TEXTE TABLEAU"/>
    <w:qFormat/>
    <w:rsid w:val="008472E5"/>
    <w:pPr>
      <w:framePr w:hSpace="141" w:wrap="around" w:vAnchor="text" w:hAnchor="text" w:y="1"/>
      <w:numPr>
        <w:numId w:val="11"/>
      </w:numPr>
      <w:tabs>
        <w:tab w:val="left" w:pos="113"/>
        <w:tab w:val="left" w:pos="142"/>
      </w:tabs>
      <w:spacing w:after="60" w:line="216" w:lineRule="auto"/>
      <w:suppressOverlap/>
    </w:pPr>
    <w:rPr>
      <w:rFonts w:ascii="Tw Cen MT" w:eastAsiaTheme="minorEastAsia" w:hAnsi="Tw Cen MT"/>
      <w:sz w:val="18"/>
      <w:szCs w:val="18"/>
      <w:lang w:eastAsia="fr-FR"/>
    </w:rPr>
  </w:style>
  <w:style w:type="paragraph" w:customStyle="1" w:styleId="textesavoir">
    <w:name w:val="texte savoir"/>
    <w:basedOn w:val="TEXTETABLEAU"/>
    <w:qFormat/>
    <w:rsid w:val="008472E5"/>
    <w:pPr>
      <w:framePr w:wrap="around"/>
      <w:tabs>
        <w:tab w:val="clear" w:pos="113"/>
      </w:tabs>
      <w:spacing w:after="40"/>
    </w:pPr>
  </w:style>
  <w:style w:type="paragraph" w:customStyle="1" w:styleId="SAVOIR">
    <w:name w:val="SAVOIR"/>
    <w:basedOn w:val="Normal"/>
    <w:qFormat/>
    <w:rsid w:val="00A95A6B"/>
    <w:pPr>
      <w:tabs>
        <w:tab w:val="left" w:pos="5387"/>
      </w:tabs>
      <w:spacing w:after="0" w:line="240" w:lineRule="auto"/>
      <w:ind w:right="1168"/>
      <w:contextualSpacing/>
    </w:pPr>
    <w:rPr>
      <w:rFonts w:ascii="Tw Cen MT" w:eastAsiaTheme="minorEastAsia" w:hAnsi="Tw Cen MT"/>
      <w:b/>
      <w:color w:val="000000" w:themeColor="text1"/>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92BAF-B3E8-4DB7-B07F-29E01B1B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926</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Turpin Emmanuelle</cp:lastModifiedBy>
  <cp:revision>6</cp:revision>
  <cp:lastPrinted>2021-05-25T14:58:00Z</cp:lastPrinted>
  <dcterms:created xsi:type="dcterms:W3CDTF">2021-05-25T11:43:00Z</dcterms:created>
  <dcterms:modified xsi:type="dcterms:W3CDTF">2021-06-09T10:29:00Z</dcterms:modified>
</cp:coreProperties>
</file>